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87" w:rsidRPr="00AA7987" w:rsidRDefault="00AA7987" w:rsidP="00AA7987">
      <w:pPr>
        <w:pStyle w:val="Kop1"/>
        <w:ind w:hanging="851"/>
        <w:rPr>
          <w:color w:val="1F497D" w:themeColor="text2"/>
          <w:sz w:val="36"/>
          <w:szCs w:val="36"/>
        </w:rPr>
      </w:pPr>
      <w:bookmarkStart w:id="0" w:name="_GoBack"/>
      <w:bookmarkEnd w:id="0"/>
      <w:r w:rsidRPr="00AA7987">
        <w:rPr>
          <w:color w:val="1F497D" w:themeColor="text2"/>
          <w:sz w:val="36"/>
          <w:szCs w:val="36"/>
        </w:rPr>
        <w:t>7a</w:t>
      </w:r>
      <w:r w:rsidRPr="00AA7987">
        <w:rPr>
          <w:color w:val="1F497D" w:themeColor="text2"/>
          <w:sz w:val="36"/>
          <w:szCs w:val="36"/>
        </w:rPr>
        <w:tab/>
        <w:t>Leesteksten – Gijsbert Van den Brink</w:t>
      </w:r>
    </w:p>
    <w:p w:rsidR="00AA7987" w:rsidRDefault="00AA7987" w:rsidP="00AA7987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  <w:rPr>
          <w:b/>
          <w:bCs/>
          <w:sz w:val="28"/>
        </w:rPr>
      </w:pPr>
      <w:r w:rsidRPr="00AA7987">
        <w:rPr>
          <w:b/>
          <w:bCs/>
          <w:sz w:val="28"/>
        </w:rPr>
        <w:t>Theologie en geschiedenis in Genesis 2-3</w:t>
      </w:r>
      <w:r>
        <w:rPr>
          <w:rStyle w:val="Voetnootmarkering"/>
          <w:b/>
          <w:bCs/>
          <w:sz w:val="28"/>
        </w:rPr>
        <w:footnoteReference w:id="1"/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 xml:space="preserve">Het januarinummer van </w:t>
      </w:r>
      <w:proofErr w:type="spellStart"/>
      <w:r w:rsidRPr="00AA7987">
        <w:rPr>
          <w:i/>
          <w:iCs/>
        </w:rPr>
        <w:t>Oikodomè</w:t>
      </w:r>
      <w:proofErr w:type="spellEnd"/>
      <w:r w:rsidRPr="00AA7987">
        <w:rPr>
          <w:i/>
          <w:iCs/>
        </w:rPr>
        <w:t xml:space="preserve"> </w:t>
      </w:r>
      <w:r w:rsidRPr="00AA7987">
        <w:t>bevatte een interessant exegetisch artikel van collega A.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van der Kooi waarin Genesis 2 en 3 centraal stonden. In deze bijdrage gaat het opnieuw over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deze hoofdstukken, maar dan vanuit een heel specifieke vraagstelling: hoe verhouden zich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vanuit christelijk oogpunt geschiedenis en theologie in deze hoofdstukken?</w:t>
      </w:r>
      <w:r w:rsidRPr="00AA7987">
        <w:rPr>
          <w:sz w:val="16"/>
          <w:szCs w:val="16"/>
        </w:rPr>
        <w:t xml:space="preserve">1 </w:t>
      </w:r>
      <w:r w:rsidRPr="00AA7987">
        <w:t>Met andere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woorden: in hoeverre willen deze hoofdstukken gebeurtenissen beschrijven die zich lang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geleden hebben afgespeeld, en in hoeverre willen ze ons op symbolische, niet letterlijk te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nemen wijze iets vertellen over de verhouding tussen God en mens? Door opnieuw aandacht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 xml:space="preserve">te vragen voor de bijbelhoofdstukken over de tuin van Eden zet </w:t>
      </w:r>
      <w:proofErr w:type="spellStart"/>
      <w:r w:rsidRPr="00AA7987">
        <w:rPr>
          <w:i/>
          <w:iCs/>
        </w:rPr>
        <w:t>Oikodomè</w:t>
      </w:r>
      <w:proofErr w:type="spellEnd"/>
      <w:r w:rsidRPr="00AA7987">
        <w:rPr>
          <w:i/>
          <w:iCs/>
        </w:rPr>
        <w:t xml:space="preserve"> </w:t>
      </w:r>
      <w:r w:rsidRPr="00AA7987">
        <w:t>overigens een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 xml:space="preserve">belangrijke </w:t>
      </w:r>
      <w:proofErr w:type="spellStart"/>
      <w:r w:rsidRPr="00AA7987">
        <w:t>Apeldoornse</w:t>
      </w:r>
      <w:proofErr w:type="spellEnd"/>
      <w:r w:rsidRPr="00AA7987">
        <w:t xml:space="preserve"> traditie voort, die werd ingeluid met de nog altijd belangwekkende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 xml:space="preserve">studie van B.J. Oosterhoff, </w:t>
      </w:r>
      <w:r w:rsidRPr="00AA7987">
        <w:rPr>
          <w:i/>
          <w:iCs/>
        </w:rPr>
        <w:t xml:space="preserve">Hoe lezen wij Genesis 2 en 3? </w:t>
      </w:r>
      <w:r w:rsidRPr="00AA7987">
        <w:t>(Kampen 1972).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In het onderstaande wil ik vijf mogelijkheden onderscheiden om de verhouding tussen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geschiedenis en theologie in deze hoofdstukken te denken. De besproken opties komen alle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voor in de literatuur, maar gezien de aard van deze rubriek zie ik af van gedetailleerde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 xml:space="preserve">bronverwijzingen. Bovendien komen ze niet allemaal in </w:t>
      </w:r>
      <w:proofErr w:type="spellStart"/>
      <w:r w:rsidRPr="00AA7987">
        <w:rPr>
          <w:i/>
          <w:iCs/>
        </w:rPr>
        <w:t>Reinkultur</w:t>
      </w:r>
      <w:proofErr w:type="spellEnd"/>
      <w:r w:rsidRPr="00AA7987">
        <w:rPr>
          <w:i/>
          <w:iCs/>
        </w:rPr>
        <w:t xml:space="preserve"> </w:t>
      </w:r>
      <w:r w:rsidRPr="00AA7987">
        <w:t>voor. Er is variatie in de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concrete uitwerking ervan, terwijl ook tussenvormen en andere varianten voorkomen.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Desondanks biedt een dergelijke typologie (mij) een handzaam raamwerk om het veld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enigszins te overzien, en ook om af te wegen welke opties de voorkeur verdienen boven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andere. Over dat laatste wil ik aan het einde van deze bijdrage nog iets schrijven. Nu volgt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 xml:space="preserve">eerst het overzicht van </w:t>
      </w:r>
      <w:r w:rsidRPr="005316E0">
        <w:rPr>
          <w:highlight w:val="lightGray"/>
        </w:rPr>
        <w:t>herm</w:t>
      </w:r>
      <w:r w:rsidR="005316E0" w:rsidRPr="005316E0">
        <w:rPr>
          <w:highlight w:val="lightGray"/>
        </w:rPr>
        <w:t>en</w:t>
      </w:r>
      <w:r w:rsidRPr="005316E0">
        <w:rPr>
          <w:highlight w:val="lightGray"/>
        </w:rPr>
        <w:t>eutische modellen</w:t>
      </w:r>
      <w:r w:rsidRPr="00AA7987">
        <w:t xml:space="preserve"> met betrekking tot de omgang met deze</w:t>
      </w:r>
    </w:p>
    <w:p w:rsid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hoofdstukken.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  <w:rPr>
          <w:u w:val="single"/>
        </w:rPr>
      </w:pPr>
      <w:r w:rsidRPr="00AA7987">
        <w:rPr>
          <w:u w:val="single"/>
        </w:rPr>
        <w:t xml:space="preserve">1. De </w:t>
      </w:r>
      <w:proofErr w:type="spellStart"/>
      <w:r w:rsidRPr="00AA7987">
        <w:rPr>
          <w:u w:val="single"/>
        </w:rPr>
        <w:t>a-historische</w:t>
      </w:r>
      <w:proofErr w:type="spellEnd"/>
      <w:r w:rsidRPr="00AA7987">
        <w:rPr>
          <w:u w:val="single"/>
        </w:rPr>
        <w:t xml:space="preserve"> of exemplarische uitleg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Volgens een eerste uitlegtype dienen wij Genesis 2 en 3 strikt theologisch te lezen: deze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hoofdstukken stellen wezenlijke aspecten aan de orde van de relatie tussen God en mens. Ze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tekenen de mens enerzijds als schepsel van God, anderzijds als ongehoorzaam aan God.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Hoewel hierbij op narratief niveau van een sequentie sprake is (eerst is de mens schepsel,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daarna pas wordt hij zondaar) is dit voor de uitleg niet bepalend. Sequentie-aanduidingen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 xml:space="preserve">dienen in bepaalde genres immers niet </w:t>
      </w:r>
      <w:r w:rsidRPr="003A68B1">
        <w:rPr>
          <w:iCs/>
          <w:highlight w:val="lightGray"/>
        </w:rPr>
        <w:t xml:space="preserve">at face </w:t>
      </w:r>
      <w:proofErr w:type="spellStart"/>
      <w:r w:rsidRPr="003A68B1">
        <w:rPr>
          <w:iCs/>
          <w:highlight w:val="lightGray"/>
        </w:rPr>
        <w:t>value</w:t>
      </w:r>
      <w:proofErr w:type="spellEnd"/>
      <w:r w:rsidRPr="003A68B1">
        <w:rPr>
          <w:iCs/>
          <w:highlight w:val="lightGray"/>
        </w:rPr>
        <w:t xml:space="preserve"> </w:t>
      </w:r>
      <w:r w:rsidRPr="003A68B1">
        <w:rPr>
          <w:highlight w:val="lightGray"/>
        </w:rPr>
        <w:t>gelezen te worden. Wie dat bijvoorbeeld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in het boek Openbaring wel probeert, merkt al snel dat hij niet goed uitkomt; en hetzelfde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geldt voor profetische teksten. Genesis 1-3 heeft veel weg van een profetische tekst, maar dan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omgekeerd gericht: niet op het scherm van de toekomst, maar op dat van het verleden wordt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geprojecteerd wie wij mensen zijn tegenover God. Het paradijs symboliseert hoe goed het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leven met God zou kunnen zijn, de ‘zondeval’ symboliseert de puinhoop die wij er in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werkelijkheid van maken.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In Genesis 2 en 3 gaat het dus niet over de eerste mensen, maar over alle mensen, over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mens-zijn in het algemeen. ‘Adam’ betekent immers gewoon ‘mens’, en vrijwel overal waar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</w:pPr>
      <w:r w:rsidRPr="003A68B1">
        <w:rPr>
          <w:highlight w:val="lightGray"/>
        </w:rPr>
        <w:t>in deze hoofdstukken staat zouden we ook gewoon ‘de mens’ kunnen lezen – en eigenlijk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3A68B1">
        <w:rPr>
          <w:i/>
        </w:rPr>
        <w:t>zouden we dat gewoon moeten doen.</w:t>
      </w:r>
      <w:r w:rsidRPr="00AA7987">
        <w:t xml:space="preserve"> Adam is </w:t>
      </w:r>
      <w:proofErr w:type="spellStart"/>
      <w:r w:rsidRPr="00AA7987">
        <w:t>Elckerlyc</w:t>
      </w:r>
      <w:proofErr w:type="spellEnd"/>
      <w:r w:rsidRPr="00AA7987">
        <w:t>, de hoofd</w:t>
      </w:r>
      <w:r w:rsidR="003A68B1">
        <w:t xml:space="preserve">figuur uit het laatmiddeleeuwse </w:t>
      </w:r>
      <w:r w:rsidRPr="00AA7987">
        <w:t xml:space="preserve">zinnespel die model staat voor ‘elk mens’. Adam en Eva zijn </w:t>
      </w:r>
      <w:r w:rsidRPr="00AA7987">
        <w:rPr>
          <w:i/>
          <w:iCs/>
        </w:rPr>
        <w:t>exempelen</w:t>
      </w:r>
      <w:r w:rsidRPr="00AA7987">
        <w:t>,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aanschouwelijke voorbeelden. Zoals het in het verhaal met hen gaat, zo gaat het in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werkelijkheid in het leven van ieder mens, luidt de boodschap van Genesis 2 en 3. Daarbij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beschrijft Genesis 3 in verhaalvorm de vervreemding van God die – telkens weer – het gevolg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is van onze uit begeerte en hoogmoed voortkomende keuzes. Die vervreemding wordt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lastRenderedPageBreak/>
        <w:t>getekend met behulp van het beeld van de dood als straf op de</w:t>
      </w:r>
      <w:r>
        <w:t xml:space="preserve"> zonde – een beeld dat dus niet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letterlijk genomen wil worden, maar uitdrukt hoezeer wij duurzaam ongelukkig worden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wanneer we het zonder God denken te kunnen doen.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 xml:space="preserve">Kortom, deze hoofdstukken dienen volstrekt </w:t>
      </w:r>
      <w:proofErr w:type="spellStart"/>
      <w:r w:rsidRPr="00AA7987">
        <w:t>a-historisch</w:t>
      </w:r>
      <w:proofErr w:type="spellEnd"/>
      <w:r w:rsidRPr="00AA7987">
        <w:t xml:space="preserve"> te worden opgevat.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Historisch gezien hoort de lichamelijke dood van meet af aan bij het mens-zijn, evenals lijden,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dood en uitsterving inherent zijn aan de geschiedenis van onze evolutionaire voorouders.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Genesis 2 en 3 vertellen ons daarentegen wel iets (en misschien wel het meest wezenlijke)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over wie we zijn tegenover God. Want Adam en Eva, dat zijn wíj. Wíj zijn uit Gods hand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voortgekomen, en wij hebben gezondigd. Maar wij ontvangen ook dat wonderlijke bericht dat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God het daar niet bij laat zitten (Gen.3:15).</w:t>
      </w:r>
    </w:p>
    <w:p w:rsidR="00AA7987" w:rsidRDefault="00AA7987" w:rsidP="00AA7987">
      <w:pPr>
        <w:autoSpaceDE w:val="0"/>
        <w:autoSpaceDN w:val="0"/>
        <w:adjustRightInd w:val="0"/>
        <w:spacing w:line="240" w:lineRule="auto"/>
      </w:pP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  <w:rPr>
          <w:u w:val="single"/>
        </w:rPr>
      </w:pPr>
      <w:r w:rsidRPr="00AA7987">
        <w:rPr>
          <w:u w:val="single"/>
        </w:rPr>
        <w:t xml:space="preserve">2. De </w:t>
      </w:r>
      <w:proofErr w:type="spellStart"/>
      <w:r w:rsidRPr="00AA7987">
        <w:rPr>
          <w:u w:val="single"/>
        </w:rPr>
        <w:t>pre-historische</w:t>
      </w:r>
      <w:proofErr w:type="spellEnd"/>
      <w:r w:rsidRPr="00AA7987">
        <w:rPr>
          <w:u w:val="single"/>
        </w:rPr>
        <w:t xml:space="preserve"> uitleg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 xml:space="preserve">Voorstanders van een tweede uitlegtype wijzen erop dat de </w:t>
      </w:r>
      <w:r w:rsidRPr="003A68B1">
        <w:rPr>
          <w:i/>
          <w:iCs/>
          <w:highlight w:val="lightGray"/>
        </w:rPr>
        <w:t xml:space="preserve">couleur </w:t>
      </w:r>
      <w:proofErr w:type="spellStart"/>
      <w:r w:rsidRPr="003A68B1">
        <w:rPr>
          <w:i/>
          <w:iCs/>
          <w:highlight w:val="lightGray"/>
        </w:rPr>
        <w:t>locale</w:t>
      </w:r>
      <w:proofErr w:type="spellEnd"/>
      <w:r w:rsidRPr="003A68B1">
        <w:rPr>
          <w:i/>
          <w:iCs/>
          <w:highlight w:val="lightGray"/>
        </w:rPr>
        <w:t xml:space="preserve"> </w:t>
      </w:r>
      <w:r w:rsidRPr="003A68B1">
        <w:rPr>
          <w:highlight w:val="lightGray"/>
        </w:rPr>
        <w:t>van Genesis 2 en 3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die is van de ‘nieuwe steentijd’ (het neolithicum) ergens in het Midden-Oosten. Het gaat in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deze hoofdstukken immers over de periode waarin de mens de aarde begon te bebouwen en te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bewerken. Archeologen maken duidelijk dat deze periode, waarin de mens de nomadische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leefwijze van de jager-verzamelaar achter zich liet, ergens rond 10.000 voor Christus moet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zijn begonnen. In diezelfde tijd ontstonden ook, in het huidige Turkije, de eerste steden (vgl.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Gen.4:17).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Probleem is wel, dat er in deze tijd al behoorlijk wat mensen op aarde leefden en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stierven – men schat tussen de 1 en de 10 miljoen. Adam en Eva vormden dus niet het eerste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mensenpaar. Wel hebben zij historisch geleefd, en werden zij door God speciaal uitgekozen</w:t>
      </w:r>
    </w:p>
    <w:p w:rsidR="00AA7987" w:rsidRPr="007022B4" w:rsidRDefault="00AA7987" w:rsidP="007022B4">
      <w:r w:rsidRPr="003A68B1">
        <w:rPr>
          <w:highlight w:val="lightGray"/>
        </w:rPr>
        <w:t>en geroepen om als eersten in een bewuste relatie tot God te leven</w:t>
      </w:r>
      <w:r w:rsidRPr="007022B4">
        <w:t>. Ongeveer zoals later</w:t>
      </w:r>
    </w:p>
    <w:p w:rsidR="00AA7987" w:rsidRPr="007022B4" w:rsidRDefault="00AA7987" w:rsidP="007022B4">
      <w:proofErr w:type="spellStart"/>
      <w:r w:rsidRPr="007022B4">
        <w:t>Abram</w:t>
      </w:r>
      <w:proofErr w:type="spellEnd"/>
      <w:r w:rsidRPr="007022B4">
        <w:t xml:space="preserve"> en Sara. Het enige verschil is dat die laatste twee alweer in een traditie stonden waarin</w:t>
      </w:r>
    </w:p>
    <w:p w:rsidR="00AA7987" w:rsidRPr="007022B4" w:rsidRDefault="00AA7987" w:rsidP="007022B4">
      <w:pPr>
        <w:rPr>
          <w:highlight w:val="lightGray"/>
        </w:rPr>
      </w:pPr>
      <w:r w:rsidRPr="007022B4">
        <w:t xml:space="preserve">God zich tot mensen verhield, terwijl Adam en Eva aan het begin daarvan staan. </w:t>
      </w:r>
      <w:r w:rsidRPr="007022B4">
        <w:rPr>
          <w:highlight w:val="lightGray"/>
        </w:rPr>
        <w:t>De</w:t>
      </w:r>
    </w:p>
    <w:p w:rsidR="00AA7987" w:rsidRPr="007022B4" w:rsidRDefault="00AA7987" w:rsidP="007022B4">
      <w:pPr>
        <w:rPr>
          <w:highlight w:val="lightGray"/>
        </w:rPr>
      </w:pPr>
      <w:r w:rsidRPr="007022B4">
        <w:rPr>
          <w:highlight w:val="lightGray"/>
        </w:rPr>
        <w:t>paradijselijke situatie laat daarbij zien hoe goed het was om God te kennen en met hem te</w:t>
      </w:r>
    </w:p>
    <w:p w:rsidR="00AA7987" w:rsidRPr="007022B4" w:rsidRDefault="00AA7987" w:rsidP="007022B4">
      <w:r w:rsidRPr="007022B4">
        <w:rPr>
          <w:highlight w:val="lightGray"/>
        </w:rPr>
        <w:t>leven.</w:t>
      </w:r>
      <w:r w:rsidRPr="007022B4">
        <w:t xml:space="preserve"> Ongeveer zoals de mooie wittebroodsweken in een huwelijk dat later gebroken raakt.</w:t>
      </w:r>
    </w:p>
    <w:p w:rsidR="00AA7987" w:rsidRPr="007022B4" w:rsidRDefault="00AA7987" w:rsidP="007022B4">
      <w:r w:rsidRPr="007022B4">
        <w:t>De val symboliseert de breuk in de relatie tot God. Deze werkte vervolgens niet alleen</w:t>
      </w:r>
    </w:p>
    <w:p w:rsidR="00AA7987" w:rsidRPr="007022B4" w:rsidRDefault="00AA7987" w:rsidP="007022B4">
      <w:r w:rsidRPr="007022B4">
        <w:t>verticaal door in de latere generaties, maar ook horizontaal onder Adam en Eva’s tijdgenoten.</w:t>
      </w:r>
    </w:p>
    <w:p w:rsidR="00AA7987" w:rsidRPr="007022B4" w:rsidRDefault="00AA7987" w:rsidP="007022B4">
      <w:r w:rsidRPr="007022B4">
        <w:t>De val was dus een soort geestelijke atoombom: vanaf het moment dat Adam in zonde viel,</w:t>
      </w:r>
    </w:p>
    <w:p w:rsidR="00AA7987" w:rsidRPr="007022B4" w:rsidRDefault="00AA7987" w:rsidP="007022B4">
      <w:r w:rsidRPr="007022B4">
        <w:t>straalden de gevolgen daarvan uit over de hele toenmalige mensheid. .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 xml:space="preserve">De overeenkomst met de </w:t>
      </w:r>
      <w:proofErr w:type="spellStart"/>
      <w:r w:rsidRPr="003A68B1">
        <w:rPr>
          <w:highlight w:val="lightGray"/>
        </w:rPr>
        <w:t>a-historische</w:t>
      </w:r>
      <w:proofErr w:type="spellEnd"/>
      <w:r w:rsidRPr="003A68B1">
        <w:rPr>
          <w:highlight w:val="lightGray"/>
        </w:rPr>
        <w:t xml:space="preserve"> uitleg is dus dat veel elementen uit Genesis 2 en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3 een symbolische en theologische betekenis hebben. Het verschil is dat Adam en Eva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volgens dit tweede uitlegtype echt geleefd hebben, en wel aan het einde van wat we de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3A68B1">
        <w:rPr>
          <w:highlight w:val="lightGray"/>
        </w:rPr>
        <w:t>prehistorische periode noemen</w:t>
      </w:r>
      <w:r w:rsidRPr="00AA7987">
        <w:t>. Zeer recent is dit uitlegtype verdedigd door Denis Alexander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(</w:t>
      </w:r>
      <w:proofErr w:type="spellStart"/>
      <w:r w:rsidRPr="00AA7987">
        <w:rPr>
          <w:i/>
          <w:iCs/>
        </w:rPr>
        <w:t>Creation</w:t>
      </w:r>
      <w:proofErr w:type="spellEnd"/>
      <w:r w:rsidRPr="00AA7987">
        <w:rPr>
          <w:i/>
          <w:iCs/>
        </w:rPr>
        <w:t xml:space="preserve"> or </w:t>
      </w:r>
      <w:proofErr w:type="spellStart"/>
      <w:r w:rsidRPr="00AA7987">
        <w:rPr>
          <w:i/>
          <w:iCs/>
        </w:rPr>
        <w:t>Evolution</w:t>
      </w:r>
      <w:proofErr w:type="spellEnd"/>
      <w:r w:rsidRPr="00AA7987">
        <w:rPr>
          <w:i/>
          <w:iCs/>
        </w:rPr>
        <w:t xml:space="preserve">. Do We Have </w:t>
      </w:r>
      <w:proofErr w:type="spellStart"/>
      <w:r w:rsidRPr="00AA7987">
        <w:rPr>
          <w:i/>
          <w:iCs/>
        </w:rPr>
        <w:t>to</w:t>
      </w:r>
      <w:proofErr w:type="spellEnd"/>
      <w:r w:rsidRPr="00AA7987">
        <w:rPr>
          <w:i/>
          <w:iCs/>
        </w:rPr>
        <w:t xml:space="preserve"> </w:t>
      </w:r>
      <w:proofErr w:type="spellStart"/>
      <w:r w:rsidRPr="00AA7987">
        <w:rPr>
          <w:i/>
          <w:iCs/>
        </w:rPr>
        <w:t>Choose</w:t>
      </w:r>
      <w:proofErr w:type="spellEnd"/>
      <w:r w:rsidRPr="00AA7987">
        <w:rPr>
          <w:i/>
          <w:iCs/>
        </w:rPr>
        <w:t>?</w:t>
      </w:r>
      <w:r w:rsidRPr="00AA7987">
        <w:t>, Monarch Books 2008) en ten onzent door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René Fransen (</w:t>
      </w:r>
      <w:r w:rsidRPr="00AA7987">
        <w:rPr>
          <w:i/>
          <w:iCs/>
        </w:rPr>
        <w:t>Gevormd uit sterrenstof</w:t>
      </w:r>
      <w:r w:rsidRPr="00AA7987">
        <w:t>, Medema 2009).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.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  <w:rPr>
          <w:u w:val="single"/>
        </w:rPr>
      </w:pPr>
      <w:r w:rsidRPr="00AA7987">
        <w:rPr>
          <w:u w:val="single"/>
        </w:rPr>
        <w:t>3. De oer-historische uitleg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Dit derde uitlegtype wil in tegenstelling tot de eerste twee verdisconteren dat het in Genesis 2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 xml:space="preserve">en 3 wel degelijk over de </w:t>
      </w:r>
      <w:r w:rsidRPr="003A68B1">
        <w:rPr>
          <w:i/>
          <w:iCs/>
          <w:highlight w:val="lightGray"/>
        </w:rPr>
        <w:t xml:space="preserve">eerste </w:t>
      </w:r>
      <w:r w:rsidRPr="003A68B1">
        <w:rPr>
          <w:highlight w:val="lightGray"/>
        </w:rPr>
        <w:t>mensen lijkt te gaan. Dat blijkt bijvoorbeeld uit het feit dat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Adam in Gen.3:20 zijn vrouw Eva noemt, omdat zij een (of de) ‘moeder van alle levenden’ is.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De hoofstukken hebben dus betrekking op het begin van de mensheidsgeschiedenis. Toch gaat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het niet om geschiedschrijving in de gewone zin van het woord, omdat we met onze normale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historiografische middelen nu eenmaal niet bij deze periode kunnen komen. De kennis ervan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die Genesis 2 en 3 bemiddelen, gaat dan ook terug op openbaring. Ze kan onmogelijk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3A68B1">
        <w:rPr>
          <w:highlight w:val="lightGray"/>
        </w:rPr>
        <w:t>wetenschappelijk geverifieerd of gefalsifieerd worden.</w:t>
      </w:r>
      <w:r w:rsidRPr="00AA7987">
        <w:t xml:space="preserve"> Om dit bijzondere, unieke karakter aan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te geven van deze geschiedenis wordt (m.n. door oudtestamentici) vaak gesproken over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proofErr w:type="spellStart"/>
      <w:r w:rsidRPr="00AA7987">
        <w:rPr>
          <w:i/>
          <w:iCs/>
        </w:rPr>
        <w:t>Urgeschichte</w:t>
      </w:r>
      <w:proofErr w:type="spellEnd"/>
      <w:r w:rsidRPr="00AA7987">
        <w:t>.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De taal waarin wij over deze ‘rand’ van de geschiedenis bericht krijgen kan niet anders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dan beeldend zijn (net als de taal waarin de Bijbel over die andere rand van de geschiedenis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AA7987">
        <w:t xml:space="preserve">spreekt: de eindtijd). </w:t>
      </w:r>
      <w:r w:rsidRPr="003A68B1">
        <w:rPr>
          <w:highlight w:val="lightGray"/>
        </w:rPr>
        <w:t>Het gaat weliswaar om feiten, maar over die feiten wordt op een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lastRenderedPageBreak/>
        <w:t>figuratieve manier verteld. Barth heeft in dit verband gesproken over een ‘sage’, waarmee hij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nadrukkelijk iets anders bedoelde dan een mythe. Een sage is een verhaal waarin de</w:t>
      </w:r>
    </w:p>
    <w:p w:rsidR="00AA7987" w:rsidRPr="003A68B1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3A68B1">
        <w:rPr>
          <w:highlight w:val="lightGray"/>
        </w:rPr>
        <w:t>menselijke verbeelding weliswaar een grote rol speelt, maar waaraan toch wel een bepaald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3A68B1">
        <w:rPr>
          <w:highlight w:val="lightGray"/>
        </w:rPr>
        <w:t>historisch gebeuren ten grondslag ligt.</w:t>
      </w:r>
      <w:r w:rsidRPr="00AA7987">
        <w:t xml:space="preserve"> Voorstanders van het oer-historische uitlegtype</w:t>
      </w:r>
    </w:p>
    <w:p w:rsidR="00AA7987" w:rsidRPr="007022B4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AA7987">
        <w:t xml:space="preserve">relateren dit gebeuren soms aan gegevens uit de hedendaagse </w:t>
      </w:r>
      <w:proofErr w:type="spellStart"/>
      <w:r w:rsidRPr="00AA7987">
        <w:t>palaeo</w:t>
      </w:r>
      <w:proofErr w:type="spellEnd"/>
      <w:r w:rsidRPr="00AA7987">
        <w:t xml:space="preserve">-antropologie. </w:t>
      </w:r>
      <w:r w:rsidRPr="007022B4">
        <w:rPr>
          <w:highlight w:val="lightGray"/>
        </w:rPr>
        <w:t>Dat zou</w:t>
      </w:r>
    </w:p>
    <w:p w:rsidR="00AA7987" w:rsidRPr="007022B4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7022B4">
        <w:rPr>
          <w:highlight w:val="lightGray"/>
        </w:rPr>
        <w:t>dan betekenen dat wat in Genesis 2 en 3 beschreven wordt zich, wanneer we alle figuratieve</w:t>
      </w:r>
    </w:p>
    <w:p w:rsidR="00AA7987" w:rsidRPr="007022B4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7022B4">
        <w:rPr>
          <w:highlight w:val="lightGray"/>
        </w:rPr>
        <w:t>‘versieringen’ buiten beschouwing laten, zo’n 200.000 jaar geleden ergens in Afrika heeft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7022B4">
        <w:rPr>
          <w:highlight w:val="lightGray"/>
        </w:rPr>
        <w:t>afgespeeld.</w:t>
      </w:r>
      <w:r w:rsidRPr="00AA7987">
        <w:t xml:space="preserve"> Toen en daar ontstonden namelijk de eerste ‘echte’ mensen. Om het gebeuren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begrijpelijk weer te geven voor de eerste lezers van het Genesisverhaal, is het verhaal erover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geplaatst in de culturele setting van landbouwers uit het Midden-Oosten.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Genesis 2 vertelt dan hoe het tot echt mens-zijn kwam vanuit de ervaring van Gods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gemeenschap en vanuit Gods roeping tot verantwoordelijkheid. Wat voor soorten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 xml:space="preserve">mensachtigen er vóór die tijd ook geweest mogen zijn in de </w:t>
      </w:r>
      <w:proofErr w:type="spellStart"/>
      <w:r w:rsidRPr="00AA7987">
        <w:t>evolutie-geschiedenis</w:t>
      </w:r>
      <w:proofErr w:type="spellEnd"/>
      <w:r w:rsidRPr="00AA7987">
        <w:t>, op dat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 xml:space="preserve">moment werd de echte mens geschapen, de </w:t>
      </w:r>
      <w:r w:rsidRPr="00AA7987">
        <w:rPr>
          <w:i/>
          <w:iCs/>
        </w:rPr>
        <w:t xml:space="preserve">homo </w:t>
      </w:r>
      <w:proofErr w:type="spellStart"/>
      <w:r w:rsidRPr="00AA7987">
        <w:rPr>
          <w:i/>
          <w:iCs/>
        </w:rPr>
        <w:t>divinus</w:t>
      </w:r>
      <w:proofErr w:type="spellEnd"/>
      <w:r w:rsidRPr="00AA7987">
        <w:rPr>
          <w:i/>
          <w:iCs/>
        </w:rPr>
        <w:t xml:space="preserve"> </w:t>
      </w:r>
      <w:r w:rsidRPr="00AA7987">
        <w:t xml:space="preserve">(met een term van John </w:t>
      </w:r>
      <w:proofErr w:type="spellStart"/>
      <w:r w:rsidRPr="00AA7987">
        <w:t>Stott</w:t>
      </w:r>
      <w:proofErr w:type="spellEnd"/>
      <w:r w:rsidRPr="00AA7987">
        <w:t>, die tot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deze groep uitleggers behoort). En Genesis 3 vertelt over de welbewuste verwerping van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Gods roeping door deze mens, een verwerping die de dood – in de zin van: het verlies van de</w:t>
      </w:r>
    </w:p>
    <w:p w:rsid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gemeenschap met God – tot gevolg had.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  <w:rPr>
          <w:u w:val="single"/>
        </w:rPr>
      </w:pPr>
      <w:r w:rsidRPr="00AA7987">
        <w:rPr>
          <w:u w:val="single"/>
        </w:rPr>
        <w:t>4. De oud-historische uitleg</w:t>
      </w:r>
    </w:p>
    <w:p w:rsidR="00AA7987" w:rsidRPr="007022B4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7022B4">
        <w:rPr>
          <w:highlight w:val="lightGray"/>
        </w:rPr>
        <w:t>Het vierde uitlegtype gaat nog wat verder door op het pad dat we de voorstanders van het</w:t>
      </w:r>
    </w:p>
    <w:p w:rsidR="00AA7987" w:rsidRPr="007022B4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7022B4">
        <w:rPr>
          <w:highlight w:val="lightGray"/>
        </w:rPr>
        <w:t>derde type zagen inslaan. Ook hier worden de hoofdstukken in verband gebracht met de eerste</w:t>
      </w:r>
    </w:p>
    <w:p w:rsidR="00AA7987" w:rsidRPr="007022B4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7022B4">
        <w:rPr>
          <w:highlight w:val="lightGray"/>
        </w:rPr>
        <w:t>mensen. Alleen ziet men de tekst toch meer als een soort journalistiek verslag van wat zich</w:t>
      </w:r>
    </w:p>
    <w:p w:rsidR="00AA7987" w:rsidRPr="007022B4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7022B4">
        <w:rPr>
          <w:highlight w:val="lightGray"/>
        </w:rPr>
        <w:t>rondom hen zoal heeft afgespeeld. Zo leidt men uit de tekst</w:t>
      </w:r>
      <w:r w:rsidR="007022B4" w:rsidRPr="007022B4">
        <w:rPr>
          <w:highlight w:val="lightGray"/>
        </w:rPr>
        <w:t xml:space="preserve"> niet alleen af dat er een voor- </w:t>
      </w:r>
      <w:r w:rsidRPr="007022B4">
        <w:rPr>
          <w:highlight w:val="lightGray"/>
        </w:rPr>
        <w:t>en</w:t>
      </w:r>
      <w:r w:rsidR="007022B4" w:rsidRPr="007022B4">
        <w:rPr>
          <w:highlight w:val="lightGray"/>
        </w:rPr>
        <w:t xml:space="preserve"> </w:t>
      </w:r>
      <w:proofErr w:type="spellStart"/>
      <w:r w:rsidRPr="007022B4">
        <w:rPr>
          <w:highlight w:val="lightGray"/>
        </w:rPr>
        <w:t>narelatie</w:t>
      </w:r>
      <w:proofErr w:type="spellEnd"/>
      <w:r w:rsidRPr="007022B4">
        <w:rPr>
          <w:highlight w:val="lightGray"/>
        </w:rPr>
        <w:t xml:space="preserve"> is geweest tussen de mens als schepsel en de mens als zondaar (met op de breuklijn</w:t>
      </w:r>
    </w:p>
    <w:p w:rsidR="00AA7987" w:rsidRPr="007022B4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7022B4">
        <w:rPr>
          <w:highlight w:val="lightGray"/>
        </w:rPr>
        <w:t>daartussenin een ‘zondeval’), maar ook dat de mens rechtstreeks door God moet zijn</w:t>
      </w:r>
    </w:p>
    <w:p w:rsidR="00AA7987" w:rsidRPr="007022B4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7022B4">
        <w:rPr>
          <w:highlight w:val="lightGray"/>
        </w:rPr>
        <w:t>geschapen. Hoewel vrijwel niemand Genesis 2:7 letterlijk neemt (de Kanttekeningen SV</w:t>
      </w:r>
    </w:p>
    <w:p w:rsidR="00AA7987" w:rsidRPr="007022B4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7022B4">
        <w:rPr>
          <w:highlight w:val="lightGray"/>
        </w:rPr>
        <w:t>zeggen al dat hier op mensvormige wijze over God gesproken wordt), meent men dat het</w:t>
      </w:r>
    </w:p>
    <w:p w:rsidR="00AA7987" w:rsidRPr="007022B4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7022B4">
        <w:rPr>
          <w:highlight w:val="lightGray"/>
        </w:rPr>
        <w:t>directe handelen van God bij de totstandkoming van de mens toch niet tot de figuratieve, maar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7022B4">
        <w:rPr>
          <w:highlight w:val="lightGray"/>
        </w:rPr>
        <w:t>tot de historische elementen in de tekst gerekend moet worden.</w:t>
      </w:r>
      <w:r w:rsidRPr="00AA7987">
        <w:t xml:space="preserve"> Dus van een evolutionair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voortkomen van de fysieke mens uit het dierenrijk is geen sprake: de mens is speciaal door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God geschapen.</w:t>
      </w:r>
    </w:p>
    <w:p w:rsidR="00AA7987" w:rsidRPr="007022B4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7022B4">
        <w:rPr>
          <w:highlight w:val="lightGray"/>
        </w:rPr>
        <w:t>Wel is het zo, dat dit zich erg lang geleden afspeelde – ongeveer zo lang als men</w:t>
      </w:r>
    </w:p>
    <w:p w:rsidR="00AA7987" w:rsidRPr="007022B4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7022B4">
        <w:rPr>
          <w:highlight w:val="lightGray"/>
        </w:rPr>
        <w:t>tegenwoordig het ten tonele verschijnen van de mens dateert. De aard en betekenis van</w:t>
      </w:r>
    </w:p>
    <w:p w:rsidR="00AA7987" w:rsidRPr="007022B4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7022B4">
        <w:rPr>
          <w:highlight w:val="lightGray"/>
        </w:rPr>
        <w:t>Genesis 2 en 3 is dus niet oer- maar oud-historisch: ze beschrijven in principe geen</w:t>
      </w:r>
    </w:p>
    <w:p w:rsidR="00AA7987" w:rsidRPr="007022B4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7022B4">
        <w:rPr>
          <w:highlight w:val="lightGray"/>
        </w:rPr>
        <w:t>andersoortige geschiedenis dan de onze, maar wel een geschiedenis die zich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7022B4">
        <w:rPr>
          <w:highlight w:val="lightGray"/>
        </w:rPr>
        <w:t>honderdduizenden jaren geleden kan hebben afgespeeld</w:t>
      </w:r>
      <w:r w:rsidRPr="00AA7987">
        <w:t>. Aan de geslachtsregisters volgend op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Genesis 3 kan men dus geen info ontlenen die het mogelijk maken de gebeurtenissen in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 xml:space="preserve">Genesis 2 en 3 te dateren; daarmee doet men geen recht aan genre en </w:t>
      </w:r>
      <w:proofErr w:type="spellStart"/>
      <w:r w:rsidRPr="00AA7987">
        <w:t>scopus</w:t>
      </w:r>
      <w:proofErr w:type="spellEnd"/>
      <w:r w:rsidRPr="00AA7987">
        <w:t xml:space="preserve"> (bedoeling) van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deze registers.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Het zal duidelijk zijn dat er tussen vertegenwoordigers van dit uitlegtype variëteit is in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de mate waarin men de verschillende tekstelementen voor letterlijk houdt. Maar meestal is het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zo, dat men uit Genesis 2 afleidt dat God minstens de hoofdsoorten en de mens schiep, terwijl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Genesis 3 laat zien hoe die mens zich vervolgens behalve de geestelijke ook de lichamelijke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dood op de hals haalde door God ongehoorzaam te worden. Dat dieren voorafgaande aan dat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moment al wel stierven (c.q. ten prooi vielen aan andere dieren in de strijd om het bestaan), is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iets wat iemand als John C. Collins (</w:t>
      </w:r>
      <w:r w:rsidRPr="00AA7987">
        <w:rPr>
          <w:i/>
          <w:iCs/>
        </w:rPr>
        <w:t>Genesis 1-4</w:t>
      </w:r>
      <w:r w:rsidRPr="00AA7987">
        <w:t>, P&amp;R Publishing 2006) voor mogelijk houdt,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terwijl er ook vertegenwoordigers van de oud-historische uitleg zijn die het ontkennen.</w:t>
      </w:r>
    </w:p>
    <w:p w:rsidR="00AA7987" w:rsidRDefault="00AA7987" w:rsidP="00AA7987">
      <w:pPr>
        <w:autoSpaceDE w:val="0"/>
        <w:autoSpaceDN w:val="0"/>
        <w:adjustRightInd w:val="0"/>
        <w:spacing w:line="240" w:lineRule="auto"/>
      </w:pP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  <w:rPr>
          <w:u w:val="single"/>
        </w:rPr>
      </w:pPr>
      <w:r w:rsidRPr="00AA7987">
        <w:rPr>
          <w:u w:val="single"/>
        </w:rPr>
        <w:t>5. De exact-historische uitleg</w:t>
      </w:r>
    </w:p>
    <w:p w:rsidR="00AA7987" w:rsidRPr="007022B4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7022B4">
        <w:rPr>
          <w:highlight w:val="lightGray"/>
        </w:rPr>
        <w:t>Het vijfde uitlegtype is dankzij het creationisme onder veel christenen het meest bekend</w:t>
      </w:r>
    </w:p>
    <w:p w:rsidR="00AA7987" w:rsidRPr="007022B4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7022B4">
        <w:rPr>
          <w:highlight w:val="lightGray"/>
        </w:rPr>
        <w:t>geworden. Hierbij gaat men ervan uit dat aan de hand van o.a. de geslachtsregisters in Genesis</w:t>
      </w:r>
    </w:p>
    <w:p w:rsidR="00AA7987" w:rsidRPr="007022B4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7022B4">
        <w:rPr>
          <w:highlight w:val="lightGray"/>
        </w:rPr>
        <w:t>berekend kan worden, dat de gebeurtenissen in Genesis 2 en 3 zich ongeveer 6000 tot</w:t>
      </w:r>
    </w:p>
    <w:p w:rsidR="00AA7987" w:rsidRPr="007022B4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7022B4">
        <w:rPr>
          <w:highlight w:val="lightGray"/>
        </w:rPr>
        <w:t>maximaal 10.000 jaar geleden hebben afgespeeld. Alles wat in Genesis 2 en 3 beschreven</w:t>
      </w:r>
    </w:p>
    <w:p w:rsidR="00AA7987" w:rsidRPr="007022B4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7022B4">
        <w:rPr>
          <w:highlight w:val="lightGray"/>
        </w:rPr>
        <w:lastRenderedPageBreak/>
        <w:t>staat is min of meer letterlijk zo gebeurd – wat overigens niet wegneemt, dat de hoofdstukken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7022B4">
        <w:rPr>
          <w:highlight w:val="lightGray"/>
        </w:rPr>
        <w:t>ook exemplarisch zijn voor alle mensen en belangrijke theologische boodschappen vertolken.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Maar daar waar de tekst er niet uitdrukkelijk aanleiding toe geeft, moet men geen figuratieve,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symbolische of uitsluitend exemplarisch bedoelde elementen aannemen.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Ook moet men de gegevens uit Genesis 2 in samenhang brengen met die uit Genesis 1.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Dat betekent dat Adam en Eva geschapen werden op de zesde dag, gerekend vanaf het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moment waarop hemel en aarde tot aanzijn kwamen. Het gaat daarbij om gewone dagen van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24 uur zoals wij die vandaag nog kennen (al is het een kleine fluctuatie naar zeg 25 uur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 xml:space="preserve">denkbaar). Het gevolg van dit </w:t>
      </w:r>
      <w:r w:rsidRPr="005316E0">
        <w:rPr>
          <w:highlight w:val="lightGray"/>
        </w:rPr>
        <w:t>ineenschuiven van Genesis 1 en 2</w:t>
      </w:r>
      <w:r w:rsidRPr="00AA7987">
        <w:t>, is dat in Genesis 2 (waar een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andere sequentie gehanteerd wordt als het gaat om de verschillende scheppingsdaden van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God) af en toe met een plusquamperfectum vertaald moet worden. Dus niet: ‘En de HERE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God maakte uit de aarde al het gedierte van het veld’, maar: ‘Want als de HERE God uit de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 xml:space="preserve">aarde al het gedierte van het veld gemaakt </w:t>
      </w:r>
      <w:r w:rsidRPr="00AA7987">
        <w:rPr>
          <w:i/>
          <w:iCs/>
        </w:rPr>
        <w:t>had</w:t>
      </w:r>
      <w:r w:rsidRPr="00AA7987">
        <w:t>’ (Gen.2:19). Dat laatste is noodzakelijk, omdat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volgens Genesis 1 de schepping van de dieren voorafging aan die van de mens. Ook kan het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woord ‘dag’ in Gen.2:17 niet letterlijk genomen worden, iets wat men bij het gebruik ervan in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Genesis 1 nadrukkelijk wel doet. Immers, de mens en zijn vrouwen stierven niet op de dag dat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ze van de boom der kennis aten, maar pas veel later.</w:t>
      </w:r>
    </w:p>
    <w:p w:rsidR="00AA7987" w:rsidRPr="005316E0" w:rsidRDefault="00AA7987" w:rsidP="00AA7987">
      <w:pPr>
        <w:autoSpaceDE w:val="0"/>
        <w:autoSpaceDN w:val="0"/>
        <w:adjustRightInd w:val="0"/>
        <w:spacing w:line="240" w:lineRule="auto"/>
        <w:rPr>
          <w:highlight w:val="lightGray"/>
        </w:rPr>
      </w:pPr>
      <w:r w:rsidRPr="005316E0">
        <w:rPr>
          <w:highlight w:val="lightGray"/>
        </w:rPr>
        <w:t>Binnen deze exact-historische uitleg wordt er van uit gegaan, dat er in het paradijs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5316E0">
        <w:rPr>
          <w:highlight w:val="lightGray"/>
        </w:rPr>
        <w:t>volstrekt geen lijden en dood bestonden.</w:t>
      </w:r>
      <w:r w:rsidRPr="00AA7987">
        <w:t xml:space="preserve"> Na de val traden dus – hetzij plotseling hetzij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geleidelijk, in een proces van ‘degeneratie’ – nieuwe natuurwetten in werking, die er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bijvoorbeeld voor verantwoordelijk zijn dat dieren niet langer slechts plantaardig voedsel eten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maar ook elkaar opvreten. Voor de dood van planten maakt men doorgaans een uitzondering,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maar ook de dood van dieren trad pas in na (en als gevolg van) de zondeval.</w:t>
      </w:r>
    </w:p>
    <w:p w:rsidR="00EB53B7" w:rsidRDefault="00EB53B7" w:rsidP="00AA7987">
      <w:pPr>
        <w:autoSpaceDE w:val="0"/>
        <w:autoSpaceDN w:val="0"/>
        <w:adjustRightInd w:val="0"/>
        <w:spacing w:line="240" w:lineRule="auto"/>
      </w:pP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Tot zover de vijf grondtypen waarbinnen men vele bestaande exegeses van Genesis 2 en 3 kan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situeren. Ik heb geprobeerd de grondlijnen ervan zo objectief en onbevooroordeeld mogelijk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te beschrijven. De vraag is nu natuurlijk: welke uitleg is het meest adequaat, in de zin dat ze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het meest recht doet aan het geheel van de tekst?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Ik kan op die vraag nu nog maar heel kort ingaan, en wijs daarom slechts op een paar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dingen. Een zo onbevangen mogelijke lezing van de tekst kan er niet omheen dat ze behalve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een theologische boodschap ook een historiografische intentie heeft: ze beoogt iets weer te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geven wat, in het perspectief van de schrijver, op de een of andere manier daadwerkelijk is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gebeurd, en wel met de eerste mensen. Daarmee vervallen de uitlegtypen 1 en 2. Tegelijk lijkt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me duidelijk dat de manier waarop voorstanders van uitlegtype 5 Genesis 2 met Genesis 1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harmoniseren, gekunsteld is. Het gaat hier om twee min of meer zelfstandige teksten, die elk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 xml:space="preserve">op eigen wijze en met eigen sequenties het </w:t>
      </w:r>
      <w:proofErr w:type="spellStart"/>
      <w:r w:rsidRPr="00AA7987">
        <w:t>scheppingshandelen</w:t>
      </w:r>
      <w:proofErr w:type="spellEnd"/>
      <w:r w:rsidRPr="00AA7987">
        <w:t xml:space="preserve"> van God belichten. Daarmee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is ook gezegd, dat de tekst naast historische ook symbolische en figuratieve elementen bevat.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</w:pPr>
      <w:r w:rsidRPr="00AA7987">
        <w:t>De meest overtuigende duiding van Genesis 2 en 3 in relatie tot de vraag ‘theologie en/of</w:t>
      </w:r>
    </w:p>
    <w:p w:rsidR="006215EE" w:rsidRPr="00AA7987" w:rsidRDefault="00AA7987" w:rsidP="00AA7987">
      <w:r w:rsidRPr="00AA7987">
        <w:t>geschiedenis?’ moet men dus zoeken in de buurt van de uitlegtypes 3 en 4.</w:t>
      </w:r>
    </w:p>
    <w:sectPr w:rsidR="006215EE" w:rsidRPr="00AA7987" w:rsidSect="00AA7987">
      <w:headerReference w:type="default" r:id="rId8"/>
      <w:footerReference w:type="default" r:id="rId9"/>
      <w:pgSz w:w="11906" w:h="16838"/>
      <w:pgMar w:top="1021" w:right="849" w:bottom="102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F8F" w:rsidRDefault="00041F8F" w:rsidP="00AA7987">
      <w:pPr>
        <w:spacing w:line="240" w:lineRule="auto"/>
      </w:pPr>
      <w:r>
        <w:separator/>
      </w:r>
    </w:p>
  </w:endnote>
  <w:endnote w:type="continuationSeparator" w:id="0">
    <w:p w:rsidR="00041F8F" w:rsidRDefault="00041F8F" w:rsidP="00AA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87" w:rsidRPr="00AA7987" w:rsidRDefault="00AA7987" w:rsidP="00AA7987">
    <w:pPr>
      <w:pStyle w:val="Voettekst"/>
      <w:jc w:val="right"/>
      <w:rPr>
        <w:sz w:val="16"/>
        <w:szCs w:val="16"/>
      </w:rPr>
    </w:pPr>
    <w:r>
      <w:rPr>
        <w:sz w:val="16"/>
        <w:szCs w:val="16"/>
      </w:rPr>
      <w:t>HIPGO – geloof en wetenschap, leestekst Gijsbert Van den Brink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F8F" w:rsidRDefault="00041F8F" w:rsidP="00AA7987">
      <w:pPr>
        <w:spacing w:line="240" w:lineRule="auto"/>
      </w:pPr>
      <w:r>
        <w:separator/>
      </w:r>
    </w:p>
  </w:footnote>
  <w:footnote w:type="continuationSeparator" w:id="0">
    <w:p w:rsidR="00041F8F" w:rsidRDefault="00041F8F" w:rsidP="00AA7987">
      <w:pPr>
        <w:spacing w:line="240" w:lineRule="auto"/>
      </w:pPr>
      <w:r>
        <w:continuationSeparator/>
      </w:r>
    </w:p>
  </w:footnote>
  <w:footnote w:id="1">
    <w:p w:rsidR="00AA7987" w:rsidRPr="00AA7987" w:rsidRDefault="00AA7987" w:rsidP="00AA798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rStyle w:val="Voetnootmarkering"/>
        </w:rPr>
        <w:footnoteRef/>
      </w:r>
      <w:r>
        <w:t xml:space="preserve"> </w:t>
      </w:r>
      <w:r w:rsidRPr="00AA7987">
        <w:rPr>
          <w:sz w:val="20"/>
          <w:szCs w:val="20"/>
        </w:rPr>
        <w:t>Dit artikel is een bewerkte versie van een lezing gehouden op een congres over ‘Darwin in de tuin van Eden’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AA7987">
        <w:rPr>
          <w:sz w:val="20"/>
          <w:szCs w:val="20"/>
        </w:rPr>
        <w:t>(Nijkerk, april 2009) en tijdens een studieweek van de Gereformeerde Bond over schepping (Doorn, augustus</w:t>
      </w:r>
    </w:p>
    <w:p w:rsidR="00AA7987" w:rsidRPr="00AA7987" w:rsidRDefault="00AA7987" w:rsidP="00AA7987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AA7987">
        <w:rPr>
          <w:sz w:val="20"/>
          <w:szCs w:val="20"/>
        </w:rPr>
        <w:t>2009).</w:t>
      </w:r>
    </w:p>
    <w:p w:rsidR="00AA7987" w:rsidRDefault="00AA7987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684194"/>
      <w:docPartObj>
        <w:docPartGallery w:val="Page Numbers (Margins)"/>
        <w:docPartUnique/>
      </w:docPartObj>
    </w:sdtPr>
    <w:sdtEndPr/>
    <w:sdtContent>
      <w:p w:rsidR="00AA7987" w:rsidRDefault="00AA7987">
        <w:pPr>
          <w:pStyle w:val="Koptekst"/>
        </w:pPr>
        <w:r>
          <w:rPr>
            <w:noProof/>
            <w:lang w:eastAsia="nl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hthoe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7987" w:rsidRDefault="00AA798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E43E2" w:rsidRPr="009E43E2">
                                <w:rPr>
                                  <w:noProof/>
                                  <w:lang w:val="nl-NL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hoek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" o:allowincell="f" stroked="f">
                  <v:textbox>
                    <w:txbxContent>
                      <w:p w:rsidR="00AA7987" w:rsidRDefault="00AA798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E43E2" w:rsidRPr="009E43E2">
                          <w:rPr>
                            <w:noProof/>
                            <w:lang w:val="nl-NL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87"/>
    <w:rsid w:val="00041F8F"/>
    <w:rsid w:val="00293B57"/>
    <w:rsid w:val="003A68B1"/>
    <w:rsid w:val="00435F02"/>
    <w:rsid w:val="005316E0"/>
    <w:rsid w:val="006215EE"/>
    <w:rsid w:val="007022B4"/>
    <w:rsid w:val="008E1F2A"/>
    <w:rsid w:val="009E43E2"/>
    <w:rsid w:val="00AA7987"/>
    <w:rsid w:val="00B37BC6"/>
    <w:rsid w:val="00E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7BC6"/>
  </w:style>
  <w:style w:type="paragraph" w:styleId="Kop1">
    <w:name w:val="heading 1"/>
    <w:basedOn w:val="Standaard"/>
    <w:next w:val="Standaard"/>
    <w:link w:val="Kop1Char"/>
    <w:uiPriority w:val="9"/>
    <w:qFormat/>
    <w:rsid w:val="00B37BC6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7BC6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7BC6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B37BC6"/>
    <w:rPr>
      <w:rFonts w:eastAsiaTheme="majorEastAsia" w:cstheme="majorBidi"/>
      <w:b/>
      <w:bCs/>
      <w:sz w:val="28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AA798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7987"/>
  </w:style>
  <w:style w:type="paragraph" w:styleId="Voettekst">
    <w:name w:val="footer"/>
    <w:basedOn w:val="Standaard"/>
    <w:link w:val="VoettekstChar"/>
    <w:uiPriority w:val="99"/>
    <w:unhideWhenUsed/>
    <w:rsid w:val="00AA798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7987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7987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798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A7987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53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5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7BC6"/>
  </w:style>
  <w:style w:type="paragraph" w:styleId="Kop1">
    <w:name w:val="heading 1"/>
    <w:basedOn w:val="Standaard"/>
    <w:next w:val="Standaard"/>
    <w:link w:val="Kop1Char"/>
    <w:uiPriority w:val="9"/>
    <w:qFormat/>
    <w:rsid w:val="00B37BC6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7BC6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7BC6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B37BC6"/>
    <w:rPr>
      <w:rFonts w:eastAsiaTheme="majorEastAsia" w:cstheme="majorBidi"/>
      <w:b/>
      <w:bCs/>
      <w:sz w:val="28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AA798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7987"/>
  </w:style>
  <w:style w:type="paragraph" w:styleId="Voettekst">
    <w:name w:val="footer"/>
    <w:basedOn w:val="Standaard"/>
    <w:link w:val="VoettekstChar"/>
    <w:uiPriority w:val="99"/>
    <w:unhideWhenUsed/>
    <w:rsid w:val="00AA798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7987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7987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798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A7987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53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5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D038-3AE2-4632-BC16-6390C840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2328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jart voortman</dc:creator>
  <cp:lastModifiedBy>jart voortman</cp:lastModifiedBy>
  <cp:revision>2</cp:revision>
  <cp:lastPrinted>2018-11-12T15:02:00Z</cp:lastPrinted>
  <dcterms:created xsi:type="dcterms:W3CDTF">2018-11-12T19:28:00Z</dcterms:created>
  <dcterms:modified xsi:type="dcterms:W3CDTF">2018-11-12T19:28:00Z</dcterms:modified>
</cp:coreProperties>
</file>